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03118">
        <w:rPr>
          <w:b/>
          <w:bCs/>
          <w:i/>
          <w:iCs/>
          <w:sz w:val="36"/>
          <w:szCs w:val="36"/>
        </w:rPr>
        <w:t>radni Chorób Zakaźnych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767AD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</w:t>
      </w:r>
      <w:r w:rsidR="00203118">
        <w:rPr>
          <w:b/>
          <w:bCs/>
          <w:i/>
          <w:iCs/>
          <w:color w:val="000000"/>
          <w:spacing w:val="1"/>
        </w:rPr>
        <w:t>radni Chorób Zakaźnych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203118">
        <w:rPr>
          <w:rStyle w:val="Pogrubienie"/>
        </w:rPr>
        <w:t>od 01.03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203118">
        <w:rPr>
          <w:rStyle w:val="Pogrubienie"/>
          <w:color w:val="000000"/>
        </w:rPr>
        <w:t>31.03.2025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lastRenderedPageBreak/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203118">
        <w:rPr>
          <w:b/>
          <w:bCs/>
          <w:spacing w:val="-1"/>
        </w:rPr>
        <w:t>o 31</w:t>
      </w:r>
      <w:r w:rsidR="007B6F50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01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203118">
        <w:rPr>
          <w:b/>
          <w:bCs/>
          <w:color w:val="000000"/>
          <w:spacing w:val="-1"/>
        </w:rPr>
        <w:t>radni Chorób Zakaźnych</w:t>
      </w:r>
      <w:r w:rsidR="009767AD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203118">
        <w:rPr>
          <w:b/>
          <w:bCs/>
        </w:rPr>
        <w:t>31</w:t>
      </w:r>
      <w:bookmarkStart w:id="0" w:name="_GoBack"/>
      <w:bookmarkEnd w:id="0"/>
      <w:r w:rsidR="009767AD">
        <w:rPr>
          <w:b/>
          <w:bCs/>
        </w:rPr>
        <w:t>.01.2023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późn.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311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16</cp:revision>
  <cp:lastPrinted>2020-08-21T08:22:00Z</cp:lastPrinted>
  <dcterms:created xsi:type="dcterms:W3CDTF">2020-06-05T10:55:00Z</dcterms:created>
  <dcterms:modified xsi:type="dcterms:W3CDTF">2023-01-11T12:00:00Z</dcterms:modified>
</cp:coreProperties>
</file>